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3GPP TSG-RAN WG4 Meeting # 112</w:t>
      </w:r>
      <w:r>
        <w:rPr>
          <w:lang w:val="en-US"/>
        </w:rPr>
        <w:tab/>
      </w:r>
      <w:r>
        <w:rPr>
          <w:rFonts w:ascii="Arial" w:hAnsi="Arial" w:cs="Arial"/>
          <w:b/>
          <w:bCs/>
          <w:sz w:val="24"/>
          <w:szCs w:val="24"/>
          <w:lang w:val="en-US" w:eastAsia="ja-JP"/>
        </w:rPr>
        <w:t xml:space="preserve">    R4-</w:t>
      </w:r>
      <w:bookmarkStart w:id="1" w:name="_GoBack"/>
      <w:r>
        <w:rPr>
          <w:rFonts w:ascii="Arial" w:hAnsi="Arial" w:cs="Arial"/>
          <w:b/>
          <w:bCs/>
          <w:sz w:val="24"/>
          <w:szCs w:val="24"/>
          <w:highlight w:val="none"/>
          <w:lang w:val="en-US" w:eastAsia="ja-JP"/>
        </w:rPr>
        <w:t>24</w:t>
      </w:r>
      <w:r>
        <w:rPr>
          <w:rFonts w:hint="default" w:ascii="Arial" w:hAnsi="Arial" w:cs="Arial"/>
          <w:b/>
          <w:bCs/>
          <w:sz w:val="24"/>
          <w:szCs w:val="24"/>
          <w:highlight w:val="none"/>
          <w:lang w:val="sv-SE" w:eastAsia="ja-JP"/>
        </w:rPr>
        <w:t>12685</w:t>
      </w:r>
      <w:bookmarkEnd w:id="1"/>
    </w:p>
    <w:p>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r>
        <w:rPr>
          <w:rFonts w:ascii="Arial" w:hAnsi="Arial" w:cs="Arial"/>
          <w:b/>
          <w:bCs/>
          <w:sz w:val="24"/>
          <w:szCs w:val="24"/>
          <w:lang w:val="en-US" w:eastAsia="ja-JP"/>
        </w:rPr>
        <w:t>Maastricht, NL, 19 – 23 August 2024</w:t>
      </w:r>
    </w:p>
    <w:p>
      <w:pPr>
        <w:tabs>
          <w:tab w:val="left" w:pos="1985"/>
        </w:tabs>
        <w:spacing w:after="120"/>
        <w:rPr>
          <w:rFonts w:ascii="Arial" w:hAnsi="Arial" w:eastAsia="MS Mincho" w:cs="Arial"/>
          <w:b/>
          <w:bCs/>
          <w:sz w:val="24"/>
          <w:highlight w:val="yellow"/>
          <w:lang w:val="en-US"/>
        </w:rPr>
      </w:pP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6.1.2.3</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lang w:val="en-US"/>
        </w:rPr>
        <w:t>Title:</w:t>
      </w:r>
      <w:r>
        <w:rPr>
          <w:rFonts w:ascii="Arial" w:hAnsi="Arial" w:eastAsia="MS Mincho" w:cs="Arial"/>
          <w:b/>
          <w:bCs/>
          <w:sz w:val="24"/>
          <w:szCs w:val="24"/>
          <w:lang w:val="en-US"/>
        </w:rPr>
        <w:tab/>
      </w:r>
      <w:r>
        <w:rPr>
          <w:rFonts w:ascii="Arial" w:hAnsi="Arial" w:eastAsia="MS Mincho" w:cs="Arial"/>
          <w:b/>
          <w:bCs/>
          <w:sz w:val="24"/>
          <w:szCs w:val="24"/>
          <w:lang w:val="en-US"/>
        </w:rPr>
        <w:t xml:space="preserve">On </w:t>
      </w:r>
      <w:r>
        <w:rPr>
          <w:rFonts w:hint="default" w:ascii="Arial" w:hAnsi="Arial" w:eastAsia="MS Mincho" w:cs="Arial"/>
          <w:b/>
          <w:bCs/>
          <w:sz w:val="24"/>
          <w:szCs w:val="24"/>
          <w:lang w:val="sv-SE"/>
        </w:rPr>
        <w:t>performance requirements for</w:t>
      </w:r>
      <w:r>
        <w:rPr>
          <w:rFonts w:ascii="Arial" w:hAnsi="Arial" w:eastAsia="MS Mincho" w:cs="Arial"/>
          <w:b/>
          <w:bCs/>
          <w:sz w:val="24"/>
          <w:szCs w:val="24"/>
          <w:lang w:val="en-US"/>
        </w:rPr>
        <w:t xml:space="preserve"> LPHAP</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pPr>
        <w:pStyle w:val="2"/>
        <w:rPr>
          <w:lang w:val="en-US"/>
        </w:rPr>
      </w:pPr>
      <w:r>
        <w:rPr>
          <w:lang w:val="en-US"/>
        </w:rPr>
        <w:t>Introduction</w:t>
      </w:r>
    </w:p>
    <w:p>
      <w:pPr>
        <w:rPr>
          <w:lang w:val="en-US" w:eastAsia="zh-CN"/>
        </w:rPr>
      </w:pPr>
      <w:r>
        <w:rPr>
          <w:lang w:val="en-US" w:eastAsia="zh-CN"/>
        </w:rPr>
        <w:t>Agreements and open issues related to LPHAP RRM requirements are listed in the WF document [1]. In this contribution remaining issues, specifically related to LPHAP TCs are discussed.</w:t>
      </w:r>
    </w:p>
    <w:p>
      <w:pPr>
        <w:pStyle w:val="2"/>
        <w:rPr>
          <w:lang w:val="en-US"/>
        </w:rPr>
      </w:pPr>
      <w:r>
        <w:rPr>
          <w:lang w:val="en-US"/>
        </w:rPr>
        <w:t>Discussion</w:t>
      </w:r>
    </w:p>
    <w:p>
      <w:pPr>
        <w:spacing w:before="120" w:beforeLines="50" w:after="120" w:afterLines="50"/>
        <w:rPr>
          <w:lang w:val="en-US" w:eastAsia="zh-CN"/>
        </w:rPr>
      </w:pPr>
      <w:r>
        <w:rPr>
          <w:lang w:val="en-US" w:eastAsia="zh-CN"/>
        </w:rPr>
        <w:t xml:space="preserve">RAN4#111 discussed test configuration for LPHAP TCs. One of the open issues is related to the PRS measurement reporting configuration [1]. </w:t>
      </w:r>
    </w:p>
    <w:p>
      <w:pPr>
        <w:rPr>
          <w:b/>
          <w:u w:val="single"/>
          <w:lang w:val="en-US"/>
        </w:rPr>
      </w:pPr>
      <w:r>
        <w:rPr>
          <w:b/>
          <w:u w:val="single"/>
          <w:lang w:val="en-US"/>
        </w:rPr>
        <w:t>Whether to configure PRS measurement reporting periodicity in the test cases</w:t>
      </w:r>
    </w:p>
    <w:p>
      <w:pPr>
        <w:spacing w:after="120"/>
        <w:rPr>
          <w:rFonts w:hint="eastAsia" w:ascii="Times New Roman Bold Italic" w:hAnsi="Times New Roman Bold Italic" w:cs="Times New Roman Bold Italic"/>
          <w:b/>
          <w:bCs/>
          <w:i/>
          <w:iCs/>
          <w:szCs w:val="24"/>
          <w:u w:val="single"/>
          <w:lang w:val="en-US" w:eastAsia="zh-CN"/>
        </w:rPr>
      </w:pPr>
      <w:r>
        <w:rPr>
          <w:rFonts w:ascii="Times New Roman Bold Italic" w:hAnsi="Times New Roman Bold Italic" w:cs="Times New Roman Bold Italic"/>
          <w:b/>
          <w:bCs/>
          <w:i/>
          <w:iCs/>
          <w:szCs w:val="24"/>
          <w:u w:val="single"/>
          <w:lang w:val="en-US" w:eastAsia="zh-CN"/>
        </w:rPr>
        <w:t>Way forward</w:t>
      </w:r>
    </w:p>
    <w:p>
      <w:pPr>
        <w:numPr>
          <w:ilvl w:val="1"/>
          <w:numId w:val="4"/>
        </w:numPr>
        <w:rPr>
          <w:rFonts w:eastAsia="MS Mincho"/>
          <w:lang w:val="en-US" w:eastAsia="ja-JP"/>
        </w:rPr>
      </w:pPr>
      <w:r>
        <w:rPr>
          <w:rFonts w:eastAsia="MS Mincho"/>
          <w:lang w:val="en-US" w:eastAsia="ja-JP"/>
        </w:rPr>
        <w:t>Option 1</w:t>
      </w:r>
      <w:r>
        <w:rPr>
          <w:rFonts w:eastAsiaTheme="minorEastAsia"/>
          <w:lang w:val="en-US" w:eastAsia="zh-CN"/>
        </w:rPr>
        <w:t xml:space="preserve">: </w:t>
      </w:r>
      <w:r>
        <w:rPr>
          <w:rFonts w:eastAsia="MS Mincho"/>
          <w:lang w:val="en-US" w:eastAsia="ja-JP"/>
        </w:rPr>
        <w:t>No</w:t>
      </w:r>
    </w:p>
    <w:p>
      <w:pPr>
        <w:numPr>
          <w:ilvl w:val="1"/>
          <w:numId w:val="4"/>
        </w:numPr>
        <w:rPr>
          <w:rFonts w:eastAsia="MS Mincho"/>
          <w:lang w:val="en-US" w:eastAsia="ja-JP"/>
        </w:rPr>
      </w:pPr>
      <w:r>
        <w:rPr>
          <w:rFonts w:eastAsia="MS Mincho"/>
          <w:lang w:val="en-US" w:eastAsia="ja-JP"/>
        </w:rPr>
        <w:t>Option 2: Yes, configured as 20s (smaller than eDRX cycle)</w:t>
      </w:r>
    </w:p>
    <w:p>
      <w:pPr>
        <w:spacing w:before="120" w:beforeLines="50" w:after="120" w:afterLines="50"/>
        <w:rPr>
          <w:lang w:val="en-US" w:eastAsia="zh-CN"/>
        </w:rPr>
      </w:pPr>
      <w:r>
        <w:rPr>
          <w:lang w:val="en-US" w:eastAsia="zh-CN"/>
        </w:rPr>
        <w:t>Release 18 WI has the following objectives for LPHAP [2].</w:t>
      </w:r>
    </w:p>
    <w:p>
      <w:pPr>
        <w:numPr>
          <w:ilvl w:val="0"/>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 xml:space="preserve">Specify enhancements for enabling </w:t>
      </w:r>
      <w:r>
        <w:rPr>
          <w:rFonts w:ascii="Times New Roman Italic" w:hAnsi="Times New Roman Italic" w:eastAsia="MS Mincho" w:cs="Times New Roman Italic"/>
          <w:b/>
          <w:bCs/>
          <w:i/>
          <w:iCs/>
          <w:u w:val="single"/>
          <w:lang w:val="en-US" w:eastAsia="ko-KR"/>
        </w:rPr>
        <w:t>LPHAP use-case 6 as defined in TS 22.104</w:t>
      </w:r>
      <w:r>
        <w:rPr>
          <w:rFonts w:ascii="Times New Roman Italic" w:hAnsi="Times New Roman Italic" w:eastAsia="MS Mincho" w:cs="Times New Roman Italic"/>
          <w:i/>
          <w:iCs/>
          <w:lang w:val="en-US" w:eastAsia="ko-KR"/>
        </w:rPr>
        <w:t xml:space="preserve"> including:</w:t>
      </w:r>
    </w:p>
    <w:p>
      <w:pPr>
        <w:numPr>
          <w:ilvl w:val="1"/>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cs="Times New Roman Italic"/>
          <w:i/>
          <w:iCs/>
          <w:lang w:val="en-US" w:eastAsia="ko-KR"/>
        </w:rPr>
        <w:t>Extending eDRX cycle beyond 10.24s in RRC_INACTIVE state towards meeting the battery life requirement for LPHAP [RAN2, RAN3, RAN4]</w:t>
      </w:r>
    </w:p>
    <w:p>
      <w:pPr>
        <w:numPr>
          <w:ilvl w:val="2"/>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Positioning-specific enhancement for eDRX cycle beyond 10.24s to be defined as part of Rel-18 WI on expanded and improved NR positioning.</w:t>
      </w:r>
    </w:p>
    <w:p>
      <w:pPr>
        <w:numPr>
          <w:ilvl w:val="3"/>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NOTE: Work on this objective should be coordinated with that in Rel-18 WI on eRedCap. Towards this, the feature of extending eDRX cycle beyond 10.24s should be defined as part of Rel-18 WI on eRedCap.</w:t>
      </w:r>
    </w:p>
    <w:p>
      <w:pPr>
        <w:numPr>
          <w:ilvl w:val="2"/>
          <w:numId w:val="5"/>
        </w:numPr>
        <w:spacing w:after="0" w:line="276" w:lineRule="auto"/>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NOTE: Inputs from RAN1 as necessary may be facilitated via LSs</w:t>
      </w:r>
    </w:p>
    <w:p>
      <w:pPr>
        <w:numPr>
          <w:ilvl w:val="1"/>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cs="Times New Roman Italic"/>
          <w:i/>
          <w:iCs/>
          <w:lang w:val="en-US" w:eastAsia="ko-KR"/>
        </w:rPr>
        <w:t>For UL and DL+UL positioning for UEs in RRC_INACTIVE state, specify SRS configuration enhancements based on SRS positioning validity area to avoid frequent RRC connection for SRS (re)configuration [RAN2, RAN1, RAN3].</w:t>
      </w:r>
    </w:p>
    <w:p>
      <w:pPr>
        <w:numPr>
          <w:ilvl w:val="2"/>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SRS for positioning configurations in multiple cells</w:t>
      </w:r>
      <w:r>
        <w:rPr>
          <w:rFonts w:ascii="Times New Roman Italic" w:hAnsi="Times New Roman Italic" w:eastAsia="DengXian" w:cs="Times New Roman Italic"/>
          <w:i/>
          <w:iCs/>
          <w:lang w:val="en-US" w:eastAsia="zh-CN"/>
        </w:rPr>
        <w:t xml:space="preserve"> [RAN2, RAN1]</w:t>
      </w:r>
      <w:r>
        <w:rPr>
          <w:rFonts w:ascii="Times New Roman Italic" w:hAnsi="Times New Roman Italic" w:eastAsia="MS Mincho" w:cs="Times New Roman Italic"/>
          <w:i/>
          <w:iCs/>
          <w:lang w:val="en-US" w:eastAsia="ko-KR"/>
        </w:rPr>
        <w:t xml:space="preserve">. </w:t>
      </w:r>
    </w:p>
    <w:p>
      <w:pPr>
        <w:numPr>
          <w:ilvl w:val="3"/>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Note: Details including issues such as interference, timing advance, spatial relation information, pathloss reference and common SRS parameters across multiple cells can be further discussed during normative work.</w:t>
      </w:r>
    </w:p>
    <w:p>
      <w:pPr>
        <w:numPr>
          <w:ilvl w:val="2"/>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Pre-configuration of one or multiple SRS for positioning configurations</w:t>
      </w:r>
      <w:r>
        <w:rPr>
          <w:rFonts w:ascii="Times New Roman Italic" w:hAnsi="Times New Roman Italic" w:eastAsia="DengXian" w:cs="Times New Roman Italic"/>
          <w:i/>
          <w:iCs/>
          <w:lang w:val="en-US" w:eastAsia="zh-CN"/>
        </w:rPr>
        <w:t xml:space="preserve"> [RAN2, RAN3]</w:t>
      </w:r>
      <w:r>
        <w:rPr>
          <w:rFonts w:ascii="Times New Roman Italic" w:hAnsi="Times New Roman Italic" w:eastAsia="MS Mincho" w:cs="Times New Roman Italic"/>
          <w:i/>
          <w:iCs/>
          <w:lang w:val="en-US" w:eastAsia="ko-KR"/>
        </w:rPr>
        <w:t>.</w:t>
      </w:r>
    </w:p>
    <w:p>
      <w:pPr>
        <w:numPr>
          <w:ilvl w:val="2"/>
          <w:numId w:val="5"/>
        </w:numPr>
        <w:spacing w:after="0"/>
        <w:rPr>
          <w:rFonts w:hint="eastAsia" w:ascii="Times New Roman Italic" w:hAnsi="Times New Roman Italic" w:eastAsia="MS Mincho" w:cs="Times New Roman Italic"/>
          <w:i/>
          <w:iCs/>
          <w:lang w:val="en-US" w:eastAsia="ko-KR"/>
        </w:rPr>
      </w:pPr>
      <w:bookmarkStart w:id="0" w:name="_Hlk122087734"/>
      <w:r>
        <w:rPr>
          <w:rFonts w:ascii="Times New Roman Italic" w:hAnsi="Times New Roman Italic" w:eastAsia="MS Mincho" w:cs="Times New Roman Italic"/>
          <w:i/>
          <w:iCs/>
          <w:lang w:val="en-US" w:eastAsia="ko-KR"/>
        </w:rPr>
        <w:t xml:space="preserve">SRS for positioning activation/request procedure(s) </w:t>
      </w:r>
      <w:bookmarkEnd w:id="0"/>
      <w:r>
        <w:rPr>
          <w:rFonts w:ascii="Times New Roman Italic" w:hAnsi="Times New Roman Italic" w:eastAsia="MS Mincho" w:cs="Times New Roman Italic"/>
          <w:i/>
          <w:iCs/>
          <w:lang w:val="en-US" w:eastAsia="ko-KR"/>
        </w:rPr>
        <w:t>[RAN2, RAN1].</w:t>
      </w:r>
    </w:p>
    <w:p>
      <w:pPr>
        <w:numPr>
          <w:ilvl w:val="1"/>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Specify solutions for DL PRS measurements for a UE in RRC_IDLE state and reporting of the measurements in RRC_CONNECTED state [RAN2].</w:t>
      </w:r>
    </w:p>
    <w:p>
      <w:pPr>
        <w:numPr>
          <w:ilvl w:val="1"/>
          <w:numId w:val="5"/>
        </w:numPr>
        <w:spacing w:after="0"/>
        <w:rPr>
          <w:rFonts w:hint="eastAsia" w:ascii="Times New Roman Italic" w:hAnsi="Times New Roman Italic" w:eastAsia="MS Mincho" w:cs="Times New Roman Italic"/>
          <w:i/>
          <w:iCs/>
          <w:lang w:val="en-US" w:eastAsia="ko-KR"/>
        </w:rPr>
      </w:pPr>
      <w:r>
        <w:rPr>
          <w:rFonts w:ascii="Times New Roman Italic" w:hAnsi="Times New Roman Italic" w:eastAsia="MS Mincho" w:cs="Times New Roman Italic"/>
          <w:i/>
          <w:iCs/>
          <w:lang w:val="en-US" w:eastAsia="ko-KR"/>
        </w:rPr>
        <w:t>Specify solutions for alignment between (e)DRX in RRC_INACTIVE and PRS configurations [RAN2].</w:t>
      </w:r>
    </w:p>
    <w:p>
      <w:pPr>
        <w:numPr>
          <w:ilvl w:val="1"/>
          <w:numId w:val="5"/>
        </w:numPr>
        <w:spacing w:after="0" w:line="276" w:lineRule="auto"/>
        <w:rPr>
          <w:rFonts w:hint="eastAsia" w:ascii="Times New Roman Italic" w:hAnsi="Times New Roman Italic" w:cs="Times New Roman Italic"/>
          <w:i/>
          <w:iCs/>
          <w:lang w:val="en-US" w:eastAsia="ko-KR"/>
        </w:rPr>
      </w:pPr>
      <w:r>
        <w:rPr>
          <w:rFonts w:ascii="Times New Roman Italic" w:hAnsi="Times New Roman Italic" w:cs="Times New Roman Italic"/>
          <w:i/>
          <w:iCs/>
          <w:lang w:val="en-US" w:eastAsia="ko-KR"/>
        </w:rPr>
        <w:t>Specify corresponding new core requirements, as well as identifying and specifying the impact on the existing RAN4 specification, including RRM measurements and procedures [RAN4].</w:t>
      </w:r>
    </w:p>
    <w:p>
      <w:pPr>
        <w:spacing w:before="120" w:beforeLines="50" w:after="120" w:afterLines="50"/>
        <w:rPr>
          <w:lang w:val="en-US" w:eastAsia="zh-CN"/>
        </w:rPr>
      </w:pPr>
      <w:r>
        <w:rPr>
          <w:lang w:val="en-US" w:eastAsia="zh-CN"/>
        </w:rPr>
        <w:br w:type="textWrapping"/>
      </w:r>
      <w:r>
        <w:rPr>
          <w:lang w:val="en-US" w:eastAsia="zh-CN"/>
        </w:rPr>
        <w:t xml:space="preserve">According to TS22.104 to support LPHAP use case 6 positioning of UE needs to be done every 15s to 30s [3]. For this purpose, for UE assisted positioning, the UE will be configured by LMF with positioning reporting interval via IE </w:t>
      </w:r>
      <w:r>
        <w:rPr>
          <w:rFonts w:eastAsia="Calibri"/>
          <w:i/>
          <w:iCs/>
          <w:lang w:val="en-US"/>
        </w:rPr>
        <w:t>reportingInterval</w:t>
      </w:r>
      <w:r>
        <w:rPr>
          <w:rFonts w:eastAsia="Calibri"/>
          <w:lang w:val="en-US" w:eastAsia="zh-CN"/>
        </w:rPr>
        <w:t xml:space="preserve"> in TS 37.355 [4]</w:t>
      </w:r>
      <w:r>
        <w:rPr>
          <w:lang w:val="en-US" w:eastAsia="zh-CN"/>
        </w:rPr>
        <w:t xml:space="preserve">. The positioning reporting interval and its impact on the measurement delay requirement was discussed during the core part of the work item and has been considered while formulating the core requirements for LPHAP, specifically when the UE is configured with eDRX cycle &gt; 10.24s. Since reporting interval configuration is one of the vital aspects of LPHAP, configuration relating to </w:t>
      </w:r>
      <w:r>
        <w:rPr>
          <w:rFonts w:eastAsia="Calibri"/>
          <w:i/>
          <w:iCs/>
          <w:lang w:val="en-US"/>
        </w:rPr>
        <w:t xml:space="preserve">reportingInterval </w:t>
      </w:r>
      <w:r>
        <w:rPr>
          <w:rFonts w:eastAsia="Calibri"/>
          <w:lang w:val="en-US"/>
        </w:rPr>
        <w:t xml:space="preserve">should therefore be considered in the LPHAP test cases. To avoid frequent transition of UE from RRC_IDE/INACTIVE to RRC_CONNECTED during the test to report the measurements, LPHAP test cases for core requirement can be considered complete after the UE reports the first set of positioning measurements based on the configured </w:t>
      </w:r>
      <w:r>
        <w:rPr>
          <w:rFonts w:eastAsia="Calibri"/>
          <w:i/>
          <w:iCs/>
          <w:lang w:val="en-US"/>
        </w:rPr>
        <w:t>reportingInterval</w:t>
      </w:r>
      <w:r>
        <w:rPr>
          <w:rFonts w:eastAsia="Calibri"/>
          <w:lang w:val="en-US"/>
        </w:rPr>
        <w:t>. This will also ensure completion of LPHAP test cases within reasonable time period avoiding a situation where due to the configured eDRX cycle the test takes long time for completion.</w:t>
      </w:r>
      <w:r>
        <w:rPr>
          <w:rFonts w:eastAsia="Calibri"/>
          <w:lang w:val="en-US"/>
        </w:rPr>
        <w:br w:type="textWrapping"/>
      </w:r>
    </w:p>
    <w:p>
      <w:pPr>
        <w:spacing w:before="120" w:beforeLines="50" w:after="120" w:afterLines="50"/>
        <w:rPr>
          <w:lang w:val="en-US" w:eastAsia="zh-CN"/>
        </w:rPr>
      </w:pPr>
      <w:r>
        <w:rPr>
          <w:b/>
          <w:bCs/>
          <w:lang w:val="en-US" w:eastAsia="zh-CN"/>
        </w:rPr>
        <w:t>Observation 1</w:t>
      </w:r>
      <w:r>
        <w:rPr>
          <w:lang w:val="en-US" w:eastAsia="zh-CN"/>
        </w:rPr>
        <w:t>: Positioning interval requirement for LPHAP use case 6 is 15s to 30s.</w:t>
      </w:r>
      <w:r>
        <w:rPr>
          <w:lang w:val="en-US" w:eastAsia="zh-CN"/>
        </w:rPr>
        <w:br w:type="textWrapping"/>
      </w:r>
    </w:p>
    <w:p>
      <w:pPr>
        <w:pStyle w:val="56"/>
        <w:rPr>
          <w:lang w:val="en-US"/>
        </w:rPr>
      </w:pPr>
      <w:r>
        <w:rPr>
          <w:lang w:val="en-US"/>
        </w:rPr>
        <w:t xml:space="preserve">Configure PRS measurement reporting periodicity in LPHAP test cases. The </w:t>
      </w:r>
      <w:r>
        <w:rPr>
          <w:rFonts w:eastAsia="Calibri"/>
          <w:i/>
          <w:iCs/>
          <w:lang w:val="en-US"/>
        </w:rPr>
        <w:t>reportingInterval</w:t>
      </w:r>
      <w:r>
        <w:rPr>
          <w:rFonts w:eastAsia="Calibri"/>
          <w:lang w:val="en-US"/>
        </w:rPr>
        <w:t xml:space="preserve"> is smaller than the eDRX cycle in the test cases.</w:t>
      </w:r>
    </w:p>
    <w:p>
      <w:pPr>
        <w:pStyle w:val="56"/>
        <w:rPr>
          <w:lang w:val="en-US"/>
        </w:rPr>
      </w:pPr>
      <w:r>
        <w:rPr>
          <w:rFonts w:eastAsia="Calibri"/>
          <w:lang w:val="en-US"/>
        </w:rPr>
        <w:t xml:space="preserve">LPHAP test cases for core requirement is considered complete after the UE reports the first set of positioning measurements based on the configured </w:t>
      </w:r>
      <w:r>
        <w:rPr>
          <w:rFonts w:eastAsia="Calibri"/>
          <w:i/>
          <w:iCs/>
          <w:lang w:val="en-US"/>
        </w:rPr>
        <w:t>reportingInterval</w:t>
      </w:r>
      <w:r>
        <w:rPr>
          <w:rFonts w:eastAsia="Calibri"/>
          <w:lang w:val="en-US"/>
        </w:rPr>
        <w:t>.</w:t>
      </w:r>
    </w:p>
    <w:p>
      <w:pPr>
        <w:pStyle w:val="2"/>
        <w:rPr>
          <w:lang w:val="en-US"/>
        </w:rPr>
      </w:pPr>
      <w:r>
        <w:rPr>
          <w:lang w:val="en-US"/>
        </w:rPr>
        <w:t>Summary</w:t>
      </w:r>
    </w:p>
    <w:p>
      <w:pPr>
        <w:spacing w:after="120" w:afterLines="50"/>
        <w:rPr>
          <w:lang w:val="en-US" w:eastAsia="zh-CN"/>
        </w:rPr>
      </w:pPr>
      <w:r>
        <w:rPr>
          <w:lang w:val="en-US" w:eastAsia="zh-CN"/>
        </w:rPr>
        <w:t>In this contribution remaining issue related to LPHAP performance requirement is discussed. The following observation and proposal summarize the discussion presented in this paper.</w:t>
      </w:r>
      <w:r>
        <w:rPr>
          <w:lang w:val="en-US" w:eastAsia="zh-CN"/>
        </w:rPr>
        <w:br w:type="textWrapping"/>
      </w:r>
    </w:p>
    <w:p>
      <w:pPr>
        <w:spacing w:before="120" w:beforeLines="50" w:after="120" w:afterLines="50"/>
        <w:rPr>
          <w:lang w:val="en-US" w:eastAsia="zh-CN"/>
        </w:rPr>
      </w:pPr>
      <w:r>
        <w:rPr>
          <w:b/>
          <w:bCs/>
          <w:lang w:val="en-US" w:eastAsia="zh-CN"/>
        </w:rPr>
        <w:t>Observation 1</w:t>
      </w:r>
      <w:r>
        <w:rPr>
          <w:lang w:val="en-US" w:eastAsia="zh-CN"/>
        </w:rPr>
        <w:t>: Positioning interval requirement for LPHAP use case 6 is 15s to 30s.</w:t>
      </w:r>
      <w:r>
        <w:rPr>
          <w:lang w:val="en-US" w:eastAsia="zh-CN"/>
        </w:rPr>
        <w:br w:type="textWrapping"/>
      </w:r>
    </w:p>
    <w:p>
      <w:pPr>
        <w:pStyle w:val="56"/>
        <w:numPr>
          <w:ilvl w:val="0"/>
          <w:numId w:val="6"/>
        </w:numPr>
        <w:rPr>
          <w:lang w:val="en-US"/>
        </w:rPr>
      </w:pPr>
      <w:r>
        <w:rPr>
          <w:lang w:val="en-US"/>
        </w:rPr>
        <w:t xml:space="preserve">Configure PRS measurement reporting periodicity in LPHAP test cases. The </w:t>
      </w:r>
      <w:r>
        <w:rPr>
          <w:rFonts w:eastAsia="Calibri"/>
          <w:i/>
          <w:iCs/>
          <w:lang w:val="en-US"/>
        </w:rPr>
        <w:t>reportingInterval</w:t>
      </w:r>
      <w:r>
        <w:rPr>
          <w:rFonts w:eastAsia="Calibri"/>
          <w:lang w:val="en-US"/>
        </w:rPr>
        <w:t xml:space="preserve"> is smaller than the eDRX cycle in the test cases.</w:t>
      </w:r>
      <w:r>
        <w:rPr>
          <w:rFonts w:eastAsia="Calibri"/>
          <w:lang w:val="en-US"/>
        </w:rPr>
        <w:br w:type="textWrapping"/>
      </w:r>
    </w:p>
    <w:p>
      <w:pPr>
        <w:pStyle w:val="56"/>
        <w:numPr>
          <w:ilvl w:val="0"/>
          <w:numId w:val="6"/>
        </w:numPr>
        <w:rPr>
          <w:lang w:val="en-US"/>
        </w:rPr>
      </w:pPr>
      <w:r>
        <w:rPr>
          <w:rFonts w:eastAsia="Calibri"/>
          <w:lang w:val="en-US"/>
        </w:rPr>
        <w:t xml:space="preserve">LPHAP test cases for core requirement is considered complete after the UE reports the first set of positioning measurements based on the configured </w:t>
      </w:r>
      <w:r>
        <w:rPr>
          <w:rFonts w:eastAsia="Calibri"/>
          <w:i/>
          <w:iCs/>
          <w:lang w:val="en-US"/>
        </w:rPr>
        <w:t>reportingInterval</w:t>
      </w:r>
      <w:r>
        <w:rPr>
          <w:rFonts w:eastAsia="Calibri"/>
          <w:lang w:val="en-US"/>
        </w:rPr>
        <w:t>.</w:t>
      </w:r>
      <w:r>
        <w:rPr>
          <w:rFonts w:eastAsia="Calibri"/>
          <w:lang w:val="en-US"/>
        </w:rPr>
        <w:br w:type="textWrapping"/>
      </w:r>
    </w:p>
    <w:p>
      <w:pPr>
        <w:pStyle w:val="2"/>
        <w:rPr>
          <w:lang w:val="en-US"/>
        </w:rPr>
      </w:pPr>
      <w:r>
        <w:rPr>
          <w:lang w:val="en-US"/>
        </w:rPr>
        <w:t>References</w:t>
      </w:r>
    </w:p>
    <w:p>
      <w:pPr>
        <w:pStyle w:val="48"/>
        <w:numPr>
          <w:ilvl w:val="0"/>
          <w:numId w:val="7"/>
        </w:numPr>
        <w:rPr>
          <w:lang w:val="en-US"/>
        </w:rPr>
      </w:pPr>
      <w:r>
        <w:rPr>
          <w:lang w:val="en-US"/>
        </w:rPr>
        <w:t>R4-2410194, WF on LPHAP RRM, Huawei, HiSilicon.</w:t>
      </w:r>
    </w:p>
    <w:p>
      <w:pPr>
        <w:pStyle w:val="48"/>
        <w:numPr>
          <w:ilvl w:val="0"/>
          <w:numId w:val="7"/>
        </w:numPr>
        <w:rPr>
          <w:lang w:val="en-US"/>
        </w:rPr>
      </w:pPr>
      <w:r>
        <w:rPr>
          <w:lang w:val="en-US"/>
        </w:rPr>
        <w:t>RP-241186, Revised WID on Expanded and Improved NR Positioning, Intel Corporation, CATT, Ericsson.</w:t>
      </w:r>
    </w:p>
    <w:p>
      <w:pPr>
        <w:pStyle w:val="48"/>
        <w:numPr>
          <w:ilvl w:val="0"/>
          <w:numId w:val="7"/>
        </w:numPr>
        <w:rPr>
          <w:lang w:val="en-US"/>
        </w:rPr>
      </w:pPr>
      <w:r>
        <w:rPr>
          <w:lang w:val="en-US"/>
        </w:rPr>
        <w:t>TS22.104, Service requirements for cyber-physical control applications in vertical domains, 3GPP.</w:t>
      </w:r>
    </w:p>
    <w:p>
      <w:pPr>
        <w:pStyle w:val="48"/>
        <w:numPr>
          <w:ilvl w:val="0"/>
          <w:numId w:val="7"/>
        </w:numPr>
        <w:rPr>
          <w:lang w:val="en-US"/>
        </w:rPr>
      </w:pPr>
      <w:r>
        <w:rPr>
          <w:lang w:val="en-US"/>
        </w:rPr>
        <w:t>TS37.355, LTE Positioning Protocol (LPP), 3GPP.</w:t>
      </w:r>
    </w:p>
    <w:sectPr>
      <w:footerReference r:id="rId5" w:type="default"/>
      <w:footnotePr>
        <w:numRestart w:val="eachSect"/>
      </w:footnotePr>
      <w:pgSz w:w="11907" w:h="16840"/>
      <w:pgMar w:top="1440" w:right="1440" w:bottom="1440" w:left="1440" w:header="680" w:footer="567"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Bold Italic">
    <w:panose1 w:val="02020603050405020304"/>
    <w:charset w:val="00"/>
    <w:family w:val="auto"/>
    <w:pitch w:val="default"/>
    <w:sig w:usb0="00000000" w:usb1="00000000" w:usb2="00000000" w:usb3="00000000" w:csb0="00000000" w:csb1="00000000"/>
  </w:font>
  <w:font w:name="等线">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Hiragino Sans GB">
    <w:panose1 w:val="020B03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9591332"/>
    </w:sdtPr>
    <w:sdtContent>
      <w:p>
        <w:pPr>
          <w:pStyle w:val="20"/>
          <w:jc w:val="center"/>
        </w:pPr>
        <w:r>
          <w:fldChar w:fldCharType="begin"/>
        </w:r>
        <w:r>
          <w:instrText xml:space="preserve"> PAGE   \* MERGEFORMAT </w:instrText>
        </w:r>
        <w:r>
          <w:fldChar w:fldCharType="separate"/>
        </w:r>
        <w:r>
          <w:t>4</w:t>
        </w:r>
        <w:r>
          <w:fldChar w:fldCharType="end"/>
        </w:r>
      </w:p>
    </w:sdtContent>
  </w:sdt>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30F68"/>
    <w:multiLevelType w:val="multilevel"/>
    <w:tmpl w:val="02D30F68"/>
    <w:lvl w:ilvl="0" w:tentative="0">
      <w:start w:val="1"/>
      <w:numFmt w:val="decimal"/>
      <w:pStyle w:val="56"/>
      <w:lvlText w:val="Proposal %1:"/>
      <w:lvlJc w:val="left"/>
      <w:pPr>
        <w:ind w:left="0" w:firstLine="0"/>
      </w:pPr>
      <w:rPr>
        <w:rFonts w:hint="default" w:ascii="Times New Roman" w:hAnsi="Times New Roman"/>
        <w:b/>
        <w:bCs/>
        <w:i w:val="0"/>
        <w:sz w:val="22"/>
      </w:rPr>
    </w:lvl>
    <w:lvl w:ilvl="1" w:tentative="0">
      <w:start w:val="1"/>
      <w:numFmt w:val="decimalZero"/>
      <w:isLgl/>
      <w:lvlText w:val="Section %1.%2"/>
      <w:lvlJc w:val="left"/>
      <w:pPr>
        <w:ind w:left="0" w:firstLine="0"/>
      </w:pPr>
      <w:rPr>
        <w:rFonts w:hint="default"/>
      </w:rPr>
    </w:lvl>
    <w:lvl w:ilvl="2" w:tentative="0">
      <w:start w:val="1"/>
      <w:numFmt w:val="lowerLetter"/>
      <w:lvlText w:val="(%3)"/>
      <w:lvlJc w:val="left"/>
      <w:pPr>
        <w:ind w:left="720" w:hanging="432"/>
      </w:pPr>
      <w:rPr>
        <w:rFonts w:hint="default"/>
      </w:rPr>
    </w:lvl>
    <w:lvl w:ilvl="3" w:tentative="0">
      <w:start w:val="1"/>
      <w:numFmt w:val="lowerRoman"/>
      <w:lvlText w:val="(%4)"/>
      <w:lvlJc w:val="right"/>
      <w:pPr>
        <w:ind w:left="864" w:hanging="144"/>
      </w:pPr>
      <w:rPr>
        <w:rFonts w:hint="default"/>
      </w:rPr>
    </w:lvl>
    <w:lvl w:ilvl="4" w:tentative="0">
      <w:start w:val="1"/>
      <w:numFmt w:val="decimal"/>
      <w:lvlText w:val="%5)"/>
      <w:lvlJc w:val="left"/>
      <w:pPr>
        <w:ind w:left="1008" w:hanging="432"/>
      </w:pPr>
      <w:rPr>
        <w:rFonts w:hint="default"/>
      </w:rPr>
    </w:lvl>
    <w:lvl w:ilvl="5" w:tentative="0">
      <w:start w:val="1"/>
      <w:numFmt w:val="lowerLetter"/>
      <w:lvlText w:val="%6)"/>
      <w:lvlJc w:val="left"/>
      <w:pPr>
        <w:ind w:left="1152" w:hanging="432"/>
      </w:pPr>
      <w:rPr>
        <w:rFonts w:hint="default"/>
      </w:rPr>
    </w:lvl>
    <w:lvl w:ilvl="6" w:tentative="0">
      <w:start w:val="1"/>
      <w:numFmt w:val="lowerRoman"/>
      <w:lvlText w:val="%7)"/>
      <w:lvlJc w:val="right"/>
      <w:pPr>
        <w:ind w:left="1296" w:hanging="288"/>
      </w:pPr>
      <w:rPr>
        <w:rFonts w:hint="default"/>
      </w:rPr>
    </w:lvl>
    <w:lvl w:ilvl="7" w:tentative="0">
      <w:start w:val="1"/>
      <w:numFmt w:val="lowerLetter"/>
      <w:lvlText w:val="%8."/>
      <w:lvlJc w:val="left"/>
      <w:pPr>
        <w:ind w:left="1440" w:hanging="432"/>
      </w:pPr>
      <w:rPr>
        <w:rFonts w:hint="default"/>
      </w:rPr>
    </w:lvl>
    <w:lvl w:ilvl="8" w:tentative="0">
      <w:start w:val="1"/>
      <w:numFmt w:val="lowerRoman"/>
      <w:lvlText w:val="%9."/>
      <w:lvlJc w:val="right"/>
      <w:pPr>
        <w:ind w:left="1584" w:hanging="144"/>
      </w:pPr>
      <w:rPr>
        <w:rFonts w:hint="default"/>
      </w:rPr>
    </w:lvl>
  </w:abstractNum>
  <w:abstractNum w:abstractNumId="1">
    <w:nsid w:val="03557AE1"/>
    <w:multiLevelType w:val="multilevel"/>
    <w:tmpl w:val="03557AE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
    <w:nsid w:val="40CB7897"/>
    <w:multiLevelType w:val="multilevel"/>
    <w:tmpl w:val="40CB7897"/>
    <w:lvl w:ilvl="0" w:tentative="0">
      <w:start w:val="1"/>
      <w:numFmt w:val="bullet"/>
      <w:lvlText w:val=""/>
      <w:lvlJc w:val="left"/>
      <w:pPr>
        <w:ind w:left="720" w:hanging="360"/>
      </w:pPr>
      <w:rPr>
        <w:rFonts w:hint="default" w:ascii="Symbol" w:hAnsi="Symbol"/>
      </w:rPr>
    </w:lvl>
    <w:lvl w:ilvl="1" w:tentative="0">
      <w:start w:val="1"/>
      <w:numFmt w:val="bullet"/>
      <w:pStyle w:val="48"/>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4BDF65F6"/>
    <w:multiLevelType w:val="multilevel"/>
    <w:tmpl w:val="4BDF65F6"/>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5"/>
  </w:num>
  <w:num w:numId="2">
    <w:abstractNumId w:val="2"/>
  </w:num>
  <w:num w:numId="3">
    <w:abstractNumId w:val="0"/>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9E0"/>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6C7"/>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A14"/>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64B9"/>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57C"/>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C34"/>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6C81"/>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3E33"/>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0B4"/>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5DCF"/>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21"/>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4892"/>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879"/>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AD"/>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7FC"/>
    <w:rsid w:val="00704819"/>
    <w:rsid w:val="0070510C"/>
    <w:rsid w:val="007051FC"/>
    <w:rsid w:val="0070548A"/>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1C"/>
    <w:rsid w:val="00781646"/>
    <w:rsid w:val="007825DF"/>
    <w:rsid w:val="007831B0"/>
    <w:rsid w:val="00783348"/>
    <w:rsid w:val="007836DF"/>
    <w:rsid w:val="007840F7"/>
    <w:rsid w:val="00784752"/>
    <w:rsid w:val="007847DC"/>
    <w:rsid w:val="0078518C"/>
    <w:rsid w:val="00787390"/>
    <w:rsid w:val="007875B2"/>
    <w:rsid w:val="00787AD7"/>
    <w:rsid w:val="00790F58"/>
    <w:rsid w:val="00791D52"/>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06D8"/>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4EF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8EE"/>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E7CD9"/>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795"/>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D11"/>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45"/>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F7"/>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54F"/>
    <w:rsid w:val="00B47976"/>
    <w:rsid w:val="00B47F12"/>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91"/>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D56"/>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375CE"/>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01E"/>
    <w:rsid w:val="00C9034A"/>
    <w:rsid w:val="00C9043E"/>
    <w:rsid w:val="00C90892"/>
    <w:rsid w:val="00C90A5C"/>
    <w:rsid w:val="00C90F63"/>
    <w:rsid w:val="00C917EF"/>
    <w:rsid w:val="00C92D18"/>
    <w:rsid w:val="00C937EC"/>
    <w:rsid w:val="00C9383E"/>
    <w:rsid w:val="00C93EA4"/>
    <w:rsid w:val="00C942C7"/>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53C"/>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2D7A"/>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028"/>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8A9"/>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31F7"/>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2D21"/>
    <w:rsid w:val="00FF3258"/>
    <w:rsid w:val="00FF4508"/>
    <w:rsid w:val="00FF526C"/>
    <w:rsid w:val="00FF5A95"/>
    <w:rsid w:val="00FF5AF0"/>
    <w:rsid w:val="00FF6AFA"/>
    <w:rsid w:val="00FF6CD4"/>
    <w:rsid w:val="3BF377FE"/>
    <w:rsid w:val="3BFBAA08"/>
    <w:rsid w:val="3F97B129"/>
    <w:rsid w:val="3FBF0412"/>
    <w:rsid w:val="74DE6BAC"/>
    <w:rsid w:val="799FC37C"/>
    <w:rsid w:val="7E317BA4"/>
    <w:rsid w:val="DEDF9088"/>
    <w:rsid w:val="F6FF4D24"/>
    <w:rsid w:val="F7FFDE8B"/>
    <w:rsid w:val="FD54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sz w:val="22"/>
      <w:lang w:val="en-GB" w:eastAsia="en-US" w:bidi="ar-SA"/>
    </w:rPr>
  </w:style>
  <w:style w:type="paragraph" w:styleId="2">
    <w:name w:val="heading 1"/>
    <w:next w:val="1"/>
    <w:link w:val="24"/>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28"/>
      <w:szCs w:val="28"/>
      <w:lang w:val="en-GB" w:eastAsia="zh-CN" w:bidi="ar-SA"/>
    </w:rPr>
  </w:style>
  <w:style w:type="paragraph" w:styleId="3">
    <w:name w:val="heading 2"/>
    <w:basedOn w:val="2"/>
    <w:next w:val="1"/>
    <w:link w:val="25"/>
    <w:qFormat/>
    <w:uiPriority w:val="0"/>
    <w:pPr>
      <w:numPr>
        <w:ilvl w:val="1"/>
      </w:numPr>
      <w:pBdr>
        <w:top w:val="none" w:color="auto" w:sz="0" w:space="0"/>
      </w:pBdr>
      <w:spacing w:before="180"/>
      <w:outlineLvl w:val="1"/>
    </w:pPr>
    <w:rPr>
      <w:sz w:val="26"/>
    </w:rPr>
  </w:style>
  <w:style w:type="paragraph" w:styleId="4">
    <w:name w:val="heading 3"/>
    <w:basedOn w:val="3"/>
    <w:next w:val="1"/>
    <w:link w:val="26"/>
    <w:qFormat/>
    <w:uiPriority w:val="0"/>
    <w:pPr>
      <w:numPr>
        <w:ilvl w:val="2"/>
      </w:numPr>
      <w:spacing w:before="120"/>
      <w:ind w:left="720"/>
      <w:outlineLvl w:val="2"/>
    </w:pPr>
    <w:rPr>
      <w:sz w:val="24"/>
    </w:rPr>
  </w:style>
  <w:style w:type="paragraph" w:styleId="5">
    <w:name w:val="heading 4"/>
    <w:basedOn w:val="4"/>
    <w:next w:val="1"/>
    <w:link w:val="27"/>
    <w:qFormat/>
    <w:uiPriority w:val="0"/>
    <w:pPr>
      <w:numPr>
        <w:ilvl w:val="3"/>
      </w:numPr>
      <w:outlineLvl w:val="3"/>
    </w:pPr>
    <w:rPr>
      <w:sz w:val="22"/>
    </w:rPr>
  </w:style>
  <w:style w:type="paragraph" w:styleId="6">
    <w:name w:val="heading 5"/>
    <w:basedOn w:val="5"/>
    <w:next w:val="1"/>
    <w:link w:val="28"/>
    <w:qFormat/>
    <w:uiPriority w:val="0"/>
    <w:pPr>
      <w:numPr>
        <w:ilvl w:val="4"/>
      </w:numPr>
      <w:outlineLvl w:val="4"/>
    </w:pPr>
    <w:rPr>
      <w:sz w:val="20"/>
    </w:rPr>
  </w:style>
  <w:style w:type="paragraph" w:styleId="7">
    <w:name w:val="heading 6"/>
    <w:basedOn w:val="1"/>
    <w:next w:val="1"/>
    <w:link w:val="29"/>
    <w:qFormat/>
    <w:uiPriority w:val="0"/>
    <w:pPr>
      <w:keepNext/>
      <w:keepLines/>
      <w:numPr>
        <w:ilvl w:val="5"/>
        <w:numId w:val="1"/>
      </w:numPr>
      <w:spacing w:before="120"/>
      <w:outlineLvl w:val="5"/>
    </w:pPr>
    <w:rPr>
      <w:rFonts w:ascii="Arial" w:hAnsi="Arial"/>
    </w:rPr>
  </w:style>
  <w:style w:type="paragraph" w:styleId="8">
    <w:name w:val="heading 7"/>
    <w:basedOn w:val="1"/>
    <w:next w:val="1"/>
    <w:link w:val="30"/>
    <w:qFormat/>
    <w:uiPriority w:val="0"/>
    <w:pPr>
      <w:keepNext/>
      <w:keepLines/>
      <w:numPr>
        <w:ilvl w:val="6"/>
        <w:numId w:val="1"/>
      </w:numPr>
      <w:spacing w:before="120"/>
      <w:outlineLvl w:val="6"/>
    </w:pPr>
    <w:rPr>
      <w:rFonts w:ascii="Arial" w:hAnsi="Arial"/>
    </w:rPr>
  </w:style>
  <w:style w:type="paragraph" w:styleId="9">
    <w:name w:val="heading 8"/>
    <w:basedOn w:val="2"/>
    <w:next w:val="1"/>
    <w:link w:val="31"/>
    <w:qFormat/>
    <w:uiPriority w:val="0"/>
    <w:pPr>
      <w:numPr>
        <w:ilvl w:val="7"/>
      </w:numPr>
      <w:outlineLvl w:val="7"/>
    </w:pPr>
  </w:style>
  <w:style w:type="paragraph" w:styleId="10">
    <w:name w:val="heading 9"/>
    <w:basedOn w:val="9"/>
    <w:next w:val="1"/>
    <w:link w:val="32"/>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6"/>
    <w:semiHidden/>
    <w:unhideWhenUsed/>
    <w:qFormat/>
    <w:uiPriority w:val="99"/>
    <w:pPr>
      <w:spacing w:after="0"/>
    </w:pPr>
    <w:rPr>
      <w:sz w:val="18"/>
      <w:szCs w:val="18"/>
    </w:rPr>
  </w:style>
  <w:style w:type="paragraph" w:styleId="14">
    <w:name w:val="caption"/>
    <w:basedOn w:val="1"/>
    <w:next w:val="1"/>
    <w:qFormat/>
    <w:uiPriority w:val="0"/>
    <w:pPr>
      <w:autoSpaceDE w:val="0"/>
      <w:autoSpaceDN w:val="0"/>
      <w:adjustRightInd w:val="0"/>
      <w:snapToGrid w:val="0"/>
      <w:spacing w:after="120"/>
      <w:jc w:val="center"/>
    </w:pPr>
    <w:rPr>
      <w:b/>
      <w:bCs/>
      <w:lang w:val="en-US"/>
    </w:rPr>
  </w:style>
  <w:style w:type="character" w:styleId="15">
    <w:name w:val="annotation reference"/>
    <w:basedOn w:val="11"/>
    <w:semiHidden/>
    <w:unhideWhenUsed/>
    <w:uiPriority w:val="99"/>
    <w:rPr>
      <w:sz w:val="16"/>
      <w:szCs w:val="16"/>
    </w:rPr>
  </w:style>
  <w:style w:type="paragraph" w:styleId="16">
    <w:name w:val="annotation text"/>
    <w:basedOn w:val="1"/>
    <w:link w:val="54"/>
    <w:semiHidden/>
    <w:unhideWhenUsed/>
    <w:uiPriority w:val="99"/>
    <w:pPr>
      <w:spacing w:line="240" w:lineRule="auto"/>
    </w:pPr>
  </w:style>
  <w:style w:type="paragraph" w:styleId="17">
    <w:name w:val="annotation subject"/>
    <w:basedOn w:val="16"/>
    <w:next w:val="16"/>
    <w:link w:val="55"/>
    <w:semiHidden/>
    <w:unhideWhenUsed/>
    <w:uiPriority w:val="99"/>
    <w:rPr>
      <w:b/>
      <w:bCs/>
    </w:rPr>
  </w:style>
  <w:style w:type="paragraph" w:styleId="18">
    <w:name w:val="Date"/>
    <w:basedOn w:val="1"/>
    <w:next w:val="1"/>
    <w:link w:val="47"/>
    <w:semiHidden/>
    <w:unhideWhenUsed/>
    <w:qFormat/>
    <w:uiPriority w:val="99"/>
    <w:pPr>
      <w:ind w:left="100" w:leftChars="2500"/>
    </w:pPr>
  </w:style>
  <w:style w:type="paragraph" w:styleId="19">
    <w:name w:val="Document Map"/>
    <w:basedOn w:val="1"/>
    <w:link w:val="35"/>
    <w:semiHidden/>
    <w:unhideWhenUsed/>
    <w:qFormat/>
    <w:uiPriority w:val="99"/>
    <w:rPr>
      <w:rFonts w:ascii="SimSun"/>
      <w:sz w:val="18"/>
      <w:szCs w:val="18"/>
    </w:rPr>
  </w:style>
  <w:style w:type="paragraph" w:styleId="20">
    <w:name w:val="footer"/>
    <w:basedOn w:val="1"/>
    <w:link w:val="46"/>
    <w:unhideWhenUsed/>
    <w:qFormat/>
    <w:uiPriority w:val="99"/>
    <w:pPr>
      <w:tabs>
        <w:tab w:val="center" w:pos="4153"/>
        <w:tab w:val="right" w:pos="8306"/>
      </w:tabs>
      <w:snapToGrid w:val="0"/>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unhideWhenUsed/>
    <w:qFormat/>
    <w:uiPriority w:val="99"/>
    <w:pPr>
      <w:spacing w:before="100" w:beforeAutospacing="1" w:after="100" w:afterAutospacing="1"/>
    </w:pPr>
    <w:rPr>
      <w:rFonts w:ascii="SimSun" w:hAnsi="SimSun" w:cs="SimSun"/>
      <w:sz w:val="24"/>
      <w:szCs w:val="24"/>
      <w:lang w:val="en-US" w:eastAsia="zh-CN"/>
    </w:rPr>
  </w:style>
  <w:style w:type="table" w:styleId="2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Heading 1 Char"/>
    <w:link w:val="2"/>
    <w:uiPriority w:val="0"/>
    <w:rPr>
      <w:rFonts w:ascii="Arial" w:hAnsi="Arial"/>
      <w:sz w:val="28"/>
      <w:szCs w:val="28"/>
      <w:lang w:val="en-GB"/>
    </w:rPr>
  </w:style>
  <w:style w:type="character" w:customStyle="1" w:styleId="25">
    <w:name w:val="Heading 2 Char"/>
    <w:link w:val="3"/>
    <w:uiPriority w:val="0"/>
    <w:rPr>
      <w:rFonts w:ascii="Arial" w:hAnsi="Arial"/>
      <w:sz w:val="26"/>
      <w:szCs w:val="28"/>
      <w:lang w:val="en-GB"/>
    </w:rPr>
  </w:style>
  <w:style w:type="character" w:customStyle="1" w:styleId="26">
    <w:name w:val="Heading 3 Char"/>
    <w:link w:val="4"/>
    <w:uiPriority w:val="0"/>
    <w:rPr>
      <w:rFonts w:ascii="Arial" w:hAnsi="Arial"/>
      <w:sz w:val="24"/>
      <w:szCs w:val="28"/>
      <w:lang w:val="en-GB"/>
    </w:rPr>
  </w:style>
  <w:style w:type="character" w:customStyle="1" w:styleId="27">
    <w:name w:val="Heading 4 Char"/>
    <w:link w:val="5"/>
    <w:qFormat/>
    <w:uiPriority w:val="0"/>
    <w:rPr>
      <w:rFonts w:ascii="Arial" w:hAnsi="Arial"/>
      <w:sz w:val="22"/>
      <w:szCs w:val="28"/>
      <w:lang w:val="en-GB"/>
    </w:rPr>
  </w:style>
  <w:style w:type="character" w:customStyle="1" w:styleId="28">
    <w:name w:val="Heading 5 Char"/>
    <w:link w:val="6"/>
    <w:qFormat/>
    <w:uiPriority w:val="0"/>
    <w:rPr>
      <w:rFonts w:ascii="Arial" w:hAnsi="Arial"/>
      <w:lang w:val="en-GB" w:eastAsia="en-US"/>
    </w:rPr>
  </w:style>
  <w:style w:type="character" w:customStyle="1" w:styleId="29">
    <w:name w:val="Heading 6 Char"/>
    <w:link w:val="7"/>
    <w:qFormat/>
    <w:uiPriority w:val="0"/>
    <w:rPr>
      <w:rFonts w:ascii="Arial" w:hAnsi="Arial"/>
      <w:lang w:val="en-GB" w:eastAsia="en-US"/>
    </w:rPr>
  </w:style>
  <w:style w:type="character" w:customStyle="1" w:styleId="30">
    <w:name w:val="Heading 7 Char"/>
    <w:link w:val="8"/>
    <w:qFormat/>
    <w:uiPriority w:val="0"/>
    <w:rPr>
      <w:rFonts w:ascii="Arial" w:hAnsi="Arial"/>
      <w:lang w:val="en-GB" w:eastAsia="en-US"/>
    </w:rPr>
  </w:style>
  <w:style w:type="character" w:customStyle="1" w:styleId="31">
    <w:name w:val="Heading 8 Char"/>
    <w:link w:val="9"/>
    <w:uiPriority w:val="0"/>
    <w:rPr>
      <w:rFonts w:ascii="Arial" w:hAnsi="Arial"/>
      <w:sz w:val="36"/>
      <w:lang w:val="en-GB" w:eastAsia="en-US"/>
    </w:rPr>
  </w:style>
  <w:style w:type="character" w:customStyle="1" w:styleId="32">
    <w:name w:val="Heading 9 Char"/>
    <w:link w:val="10"/>
    <w:qFormat/>
    <w:uiPriority w:val="0"/>
    <w:rPr>
      <w:rFonts w:ascii="Arial" w:hAnsi="Arial"/>
      <w:sz w:val="36"/>
      <w:lang w:val="en-GB" w:eastAsia="en-US"/>
    </w:rPr>
  </w:style>
  <w:style w:type="paragraph" w:customStyle="1" w:styleId="33">
    <w:name w:val="TAC"/>
    <w:basedOn w:val="1"/>
    <w:link w:val="34"/>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34">
    <w:name w:val="TAC Char"/>
    <w:link w:val="33"/>
    <w:qFormat/>
    <w:uiPriority w:val="0"/>
    <w:rPr>
      <w:rFonts w:ascii="Arial" w:hAnsi="Arial" w:eastAsia="Times New Roman"/>
      <w:sz w:val="18"/>
      <w:lang w:eastAsia="en-GB"/>
    </w:rPr>
  </w:style>
  <w:style w:type="character" w:customStyle="1" w:styleId="35">
    <w:name w:val="Document Map Char"/>
    <w:link w:val="19"/>
    <w:semiHidden/>
    <w:qFormat/>
    <w:uiPriority w:val="99"/>
    <w:rPr>
      <w:rFonts w:ascii="SimSun" w:hAnsi="Times New Roman"/>
      <w:sz w:val="18"/>
      <w:szCs w:val="18"/>
      <w:lang w:val="en-GB" w:eastAsia="en-US"/>
    </w:rPr>
  </w:style>
  <w:style w:type="character" w:customStyle="1" w:styleId="36">
    <w:name w:val="Balloon Text Char"/>
    <w:link w:val="13"/>
    <w:semiHidden/>
    <w:qFormat/>
    <w:uiPriority w:val="99"/>
    <w:rPr>
      <w:rFonts w:ascii="Times New Roman" w:hAnsi="Times New Roman"/>
      <w:sz w:val="18"/>
      <w:szCs w:val="18"/>
      <w:lang w:val="en-GB" w:eastAsia="en-US"/>
    </w:rPr>
  </w:style>
  <w:style w:type="character" w:customStyle="1" w:styleId="37">
    <w:name w:val="TAL Car"/>
    <w:link w:val="38"/>
    <w:qFormat/>
    <w:locked/>
    <w:uiPriority w:val="0"/>
    <w:rPr>
      <w:rFonts w:ascii="Arial" w:hAnsi="Arial" w:cs="Arial"/>
      <w:sz w:val="18"/>
      <w:szCs w:val="18"/>
      <w:lang w:val="en-GB" w:eastAsia="ja-JP"/>
    </w:rPr>
  </w:style>
  <w:style w:type="paragraph" w:customStyle="1" w:styleId="38">
    <w:name w:val="TAL"/>
    <w:basedOn w:val="1"/>
    <w:link w:val="37"/>
    <w:qFormat/>
    <w:uiPriority w:val="0"/>
    <w:pPr>
      <w:keepNext/>
      <w:keepLines/>
      <w:overflowPunct w:val="0"/>
      <w:autoSpaceDE w:val="0"/>
      <w:autoSpaceDN w:val="0"/>
      <w:adjustRightInd w:val="0"/>
      <w:spacing w:after="0"/>
    </w:pPr>
    <w:rPr>
      <w:rFonts w:ascii="Arial" w:hAnsi="Arial" w:cs="Arial"/>
      <w:sz w:val="18"/>
      <w:szCs w:val="18"/>
      <w:lang w:eastAsia="ja-JP"/>
    </w:rPr>
  </w:style>
  <w:style w:type="paragraph" w:customStyle="1" w:styleId="39">
    <w:name w:val="TAH"/>
    <w:basedOn w:val="1"/>
    <w:link w:val="43"/>
    <w:qFormat/>
    <w:uiPriority w:val="0"/>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40">
    <w:name w:val="TH Char"/>
    <w:link w:val="41"/>
    <w:qFormat/>
    <w:locked/>
    <w:uiPriority w:val="0"/>
    <w:rPr>
      <w:rFonts w:ascii="Arial" w:hAnsi="Arial" w:cs="Arial"/>
      <w:b/>
      <w:bCs/>
      <w:lang w:val="en-GB" w:eastAsia="ja-JP"/>
    </w:rPr>
  </w:style>
  <w:style w:type="paragraph" w:customStyle="1" w:styleId="41">
    <w:name w:val="TH"/>
    <w:basedOn w:val="1"/>
    <w:link w:val="40"/>
    <w:qFormat/>
    <w:uiPriority w:val="0"/>
    <w:pPr>
      <w:keepNext/>
      <w:keepLines/>
      <w:overflowPunct w:val="0"/>
      <w:autoSpaceDE w:val="0"/>
      <w:autoSpaceDN w:val="0"/>
      <w:adjustRightInd w:val="0"/>
      <w:spacing w:before="60"/>
      <w:jc w:val="center"/>
    </w:pPr>
    <w:rPr>
      <w:rFonts w:ascii="Arial" w:hAnsi="Arial" w:cs="Arial"/>
      <w:b/>
      <w:bCs/>
      <w:lang w:eastAsia="ja-JP"/>
    </w:rPr>
  </w:style>
  <w:style w:type="paragraph" w:customStyle="1" w:styleId="42">
    <w:name w:val="TAN"/>
    <w:basedOn w:val="38"/>
    <w:link w:val="44"/>
    <w:qFormat/>
    <w:uiPriority w:val="0"/>
    <w:pPr>
      <w:overflowPunct/>
      <w:autoSpaceDE/>
      <w:autoSpaceDN/>
      <w:adjustRightInd/>
      <w:ind w:left="851" w:hanging="851"/>
    </w:pPr>
    <w:rPr>
      <w:rFonts w:cs="Times New Roman"/>
      <w:szCs w:val="20"/>
      <w:lang w:eastAsia="en-US"/>
    </w:rPr>
  </w:style>
  <w:style w:type="character" w:customStyle="1" w:styleId="43">
    <w:name w:val="TAH Car"/>
    <w:link w:val="39"/>
    <w:qFormat/>
    <w:uiPriority w:val="0"/>
    <w:rPr>
      <w:rFonts w:ascii="Arial" w:hAnsi="Arial" w:eastAsia="Times New Roman" w:cs="Arial"/>
      <w:b/>
      <w:bCs/>
      <w:sz w:val="18"/>
      <w:szCs w:val="18"/>
      <w:lang w:val="en-GB" w:eastAsia="ja-JP"/>
    </w:rPr>
  </w:style>
  <w:style w:type="character" w:customStyle="1" w:styleId="44">
    <w:name w:val="TAN Char"/>
    <w:link w:val="42"/>
    <w:qFormat/>
    <w:uiPriority w:val="0"/>
    <w:rPr>
      <w:rFonts w:ascii="Arial" w:hAnsi="Arial" w:cs="Arial"/>
      <w:sz w:val="18"/>
      <w:szCs w:val="18"/>
      <w:lang w:val="en-GB" w:eastAsia="en-US"/>
    </w:rPr>
  </w:style>
  <w:style w:type="character" w:customStyle="1" w:styleId="45">
    <w:name w:val="Header Char"/>
    <w:link w:val="21"/>
    <w:qFormat/>
    <w:uiPriority w:val="99"/>
    <w:rPr>
      <w:rFonts w:ascii="Times New Roman" w:hAnsi="Times New Roman"/>
      <w:sz w:val="18"/>
      <w:szCs w:val="18"/>
      <w:lang w:val="en-GB" w:eastAsia="en-US"/>
    </w:rPr>
  </w:style>
  <w:style w:type="character" w:customStyle="1" w:styleId="46">
    <w:name w:val="Footer Char"/>
    <w:link w:val="20"/>
    <w:qFormat/>
    <w:uiPriority w:val="99"/>
    <w:rPr>
      <w:rFonts w:ascii="Times New Roman" w:hAnsi="Times New Roman"/>
      <w:sz w:val="18"/>
      <w:szCs w:val="18"/>
      <w:lang w:val="en-GB" w:eastAsia="en-US"/>
    </w:rPr>
  </w:style>
  <w:style w:type="character" w:customStyle="1" w:styleId="47">
    <w:name w:val="Date Char"/>
    <w:link w:val="18"/>
    <w:semiHidden/>
    <w:qFormat/>
    <w:uiPriority w:val="99"/>
    <w:rPr>
      <w:rFonts w:ascii="Times New Roman" w:hAnsi="Times New Roman"/>
      <w:lang w:val="en-GB" w:eastAsia="en-US"/>
    </w:rPr>
  </w:style>
  <w:style w:type="paragraph" w:styleId="48">
    <w:name w:val="List Paragraph"/>
    <w:basedOn w:val="1"/>
    <w:link w:val="50"/>
    <w:qFormat/>
    <w:uiPriority w:val="34"/>
    <w:pPr>
      <w:numPr>
        <w:ilvl w:val="1"/>
        <w:numId w:val="2"/>
      </w:numPr>
      <w:ind w:left="1080"/>
    </w:pPr>
    <w:rPr>
      <w:lang w:eastAsia="zh-CN"/>
    </w:rPr>
  </w:style>
  <w:style w:type="character" w:customStyle="1" w:styleId="49">
    <w:name w:val="texhtml"/>
    <w:basedOn w:val="11"/>
    <w:uiPriority w:val="0"/>
  </w:style>
  <w:style w:type="character" w:customStyle="1" w:styleId="50">
    <w:name w:val="List Paragraph Char"/>
    <w:link w:val="48"/>
    <w:qFormat/>
    <w:locked/>
    <w:uiPriority w:val="34"/>
    <w:rPr>
      <w:rFonts w:ascii="Times New Roman" w:hAnsi="Times New Roman"/>
      <w:sz w:val="22"/>
      <w:lang w:val="en-GB"/>
    </w:rPr>
  </w:style>
  <w:style w:type="table" w:customStyle="1" w:styleId="51">
    <w:name w:val="Table Grid1"/>
    <w:basedOn w:val="12"/>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1"/>
    <w:hidden/>
    <w:semiHidden/>
    <w:qFormat/>
    <w:uiPriority w:val="99"/>
    <w:pPr>
      <w:spacing w:after="160" w:line="259" w:lineRule="auto"/>
    </w:pPr>
    <w:rPr>
      <w:rFonts w:ascii="Times New Roman" w:hAnsi="Times New Roman" w:eastAsia="SimSun" w:cs="Times New Roman"/>
      <w:lang w:val="en-GB" w:eastAsia="en-US" w:bidi="ar-SA"/>
    </w:rPr>
  </w:style>
  <w:style w:type="paragraph" w:customStyle="1" w:styleId="53">
    <w:name w:val="Revision2"/>
    <w:hidden/>
    <w:semiHidden/>
    <w:uiPriority w:val="99"/>
    <w:rPr>
      <w:rFonts w:ascii="Times New Roman" w:hAnsi="Times New Roman" w:eastAsia="SimSun" w:cs="Times New Roman"/>
      <w:lang w:val="en-GB" w:eastAsia="en-US" w:bidi="ar-SA"/>
    </w:rPr>
  </w:style>
  <w:style w:type="character" w:customStyle="1" w:styleId="54">
    <w:name w:val="Comment Text Char"/>
    <w:basedOn w:val="11"/>
    <w:link w:val="16"/>
    <w:semiHidden/>
    <w:uiPriority w:val="99"/>
    <w:rPr>
      <w:rFonts w:ascii="Times New Roman" w:hAnsi="Times New Roman"/>
      <w:lang w:val="en-GB" w:eastAsia="en-US"/>
    </w:rPr>
  </w:style>
  <w:style w:type="character" w:customStyle="1" w:styleId="55">
    <w:name w:val="Comment Subject Char"/>
    <w:basedOn w:val="54"/>
    <w:link w:val="17"/>
    <w:semiHidden/>
    <w:uiPriority w:val="99"/>
    <w:rPr>
      <w:rFonts w:ascii="Times New Roman" w:hAnsi="Times New Roman"/>
      <w:b/>
      <w:bCs/>
      <w:lang w:val="en-GB" w:eastAsia="en-US"/>
    </w:rPr>
  </w:style>
  <w:style w:type="paragraph" w:customStyle="1" w:styleId="56">
    <w:name w:val="proposal"/>
    <w:basedOn w:val="1"/>
    <w:qFormat/>
    <w:uiPriority w:val="0"/>
    <w:pPr>
      <w:numPr>
        <w:ilvl w:val="0"/>
        <w:numId w:val="3"/>
      </w:numPr>
    </w:pPr>
    <w:rPr>
      <w:bCs/>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3</Pages>
  <Words>737</Words>
  <Characters>4207</Characters>
  <Lines>35</Lines>
  <Paragraphs>9</Paragraphs>
  <TotalTime>56</TotalTime>
  <ScaleCrop>false</ScaleCrop>
  <LinksUpToDate>false</LinksUpToDate>
  <CharactersWithSpaces>4935</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2023-01-25T14:54:00Z</dcterms:created>
  <dc:creator>Dai Xizeng</dc:creator>
  <cp:lastModifiedBy>Deep [E///]</cp:lastModifiedBy>
  <dcterms:modified xsi:type="dcterms:W3CDTF">2024-08-09T16:55:08Z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